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0" distR="0">
            <wp:extent cx="2994025" cy="1134745"/>
            <wp:effectExtent l="0" t="0" r="15875" b="825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-1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 w:cstheme="minorBidi"/>
          <w:kern w:val="2"/>
          <w:sz w:val="20"/>
          <w:szCs w:val="20"/>
        </w:rPr>
      </w:pPr>
      <w:r>
        <w:rPr>
          <w:rFonts w:ascii="微软雅黑" w:hAnsi="微软雅黑" w:eastAsia="微软雅黑" w:cstheme="minorBidi"/>
          <w:b/>
          <w:kern w:val="2"/>
          <w:sz w:val="20"/>
          <w:szCs w:val="20"/>
        </w:rPr>
        <w:t>ProQuest</w:t>
      </w:r>
      <w:r>
        <w:rPr>
          <w:rFonts w:hint="eastAsia" w:ascii="微软雅黑" w:hAnsi="微软雅黑" w:eastAsia="微软雅黑" w:cstheme="minorBidi"/>
          <w:b/>
          <w:kern w:val="2"/>
          <w:sz w:val="20"/>
          <w:szCs w:val="20"/>
        </w:rPr>
        <w:t>公司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，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起源于1938年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，现提供全球学术信息，例如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ProQuest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系列学术数据库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第三方数据库（例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  <w:lang w:val="en-US" w:eastAsia="zh-CN"/>
        </w:rPr>
        <w:t>如：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美国心理学会数据库）、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Dialog、Ebook Central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RefWorks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Pivot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Chadwyck-Healey、UMI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eLibrary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SIRS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、</w:t>
      </w:r>
      <w:r>
        <w:rPr>
          <w:rFonts w:ascii="微软雅黑" w:hAnsi="微软雅黑" w:eastAsia="微软雅黑" w:cstheme="minorBidi"/>
          <w:kern w:val="2"/>
          <w:sz w:val="20"/>
          <w:szCs w:val="20"/>
        </w:rPr>
        <w:t>CultureGrams</w:t>
      </w:r>
      <w:r>
        <w:rPr>
          <w:rFonts w:hint="eastAsia" w:ascii="微软雅黑" w:hAnsi="微软雅黑" w:eastAsia="微软雅黑" w:cstheme="minorBidi"/>
          <w:kern w:val="2"/>
          <w:sz w:val="20"/>
          <w:szCs w:val="20"/>
        </w:rPr>
        <w:t>，以及Ex Libris系列图书馆管理系统等。</w:t>
      </w:r>
    </w:p>
    <w:p>
      <w:pPr>
        <w:pStyle w:val="4"/>
        <w:rPr>
          <w:rFonts w:ascii="微软雅黑" w:hAnsi="微软雅黑" w:eastAsia="微软雅黑" w:cstheme="minorBidi"/>
          <w:kern w:val="2"/>
          <w:sz w:val="20"/>
          <w:szCs w:val="20"/>
        </w:rPr>
      </w:pPr>
    </w:p>
    <w:p>
      <w:pPr>
        <w:rPr>
          <w:rFonts w:ascii="微软雅黑" w:hAnsi="微软雅黑" w:eastAsia="微软雅黑"/>
          <w:b/>
          <w:sz w:val="20"/>
          <w:szCs w:val="20"/>
        </w:rPr>
      </w:pPr>
      <w:r>
        <w:rPr>
          <w:rFonts w:ascii="微软雅黑" w:hAnsi="微软雅黑" w:eastAsia="微软雅黑"/>
          <w:b/>
          <w:sz w:val="20"/>
          <w:szCs w:val="20"/>
        </w:rPr>
        <w:t>ProQuest Central China(</w:t>
      </w:r>
      <w:r>
        <w:rPr>
          <w:rFonts w:hint="eastAsia" w:ascii="微软雅黑" w:hAnsi="微软雅黑" w:eastAsia="微软雅黑"/>
          <w:b/>
          <w:sz w:val="20"/>
          <w:szCs w:val="20"/>
        </w:rPr>
        <w:t xml:space="preserve">综合学术期刊数据库) </w:t>
      </w:r>
    </w:p>
    <w:tbl>
      <w:tblPr>
        <w:tblStyle w:val="10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  <w:gridCol w:w="2350"/>
        <w:gridCol w:w="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461" w:type="dxa"/>
            <w:gridSpan w:val="3"/>
            <w:tcBorders>
              <w:top w:val="single" w:color="C0504D" w:themeColor="accent2" w:sz="12" w:space="0"/>
              <w:left w:val="single" w:color="C0504D" w:themeColor="accent2" w:sz="12" w:space="0"/>
              <w:right w:val="single" w:color="C0504D" w:themeColor="accent2" w:sz="12" w:space="0"/>
            </w:tcBorders>
          </w:tcPr>
          <w:p>
            <w:pPr>
              <w:rPr>
                <w:rFonts w:ascii="微软雅黑" w:hAnsi="微软雅黑" w:eastAsia="微软雅黑"/>
                <w:b/>
                <w:sz w:val="20"/>
                <w:szCs w:val="20"/>
              </w:rPr>
            </w:pPr>
            <w:r>
              <w:drawing>
                <wp:inline distT="0" distB="0" distL="0" distR="0">
                  <wp:extent cx="6645910" cy="1348105"/>
                  <wp:effectExtent l="0" t="0" r="2540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61" w:type="dxa"/>
            <w:gridSpan w:val="3"/>
            <w:tcBorders>
              <w:left w:val="single" w:color="C0504D" w:themeColor="accent2" w:sz="12" w:space="0"/>
              <w:right w:val="single" w:color="C0504D" w:themeColor="accent2" w:sz="12" w:space="0"/>
            </w:tcBorders>
          </w:tcPr>
          <w:p>
            <w:pPr>
              <w:rPr>
                <w:rFonts w:ascii="微软雅黑" w:hAnsi="微软雅黑" w:eastAsia="微软雅黑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color w:val="464646"/>
                <w:sz w:val="20"/>
                <w:szCs w:val="20"/>
              </w:rPr>
              <w:t>收录内容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：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收录了20,000多种出版物（包含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1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6,000多种全文刊），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其中1,900多种科技领域学科全文刊被SCI索引，约1,200多种社科领域全文刊被SSCI索引，500多种人文艺术领域全文刊被A&amp;HCI索引，约300多种教育学全文刊被ERIC索引，700多种心理学全文刊被PsycINFO索引，约2,000多种多种生物医学及相关学科全文刊被PubMed索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1815" w:hRule="atLeast"/>
        </w:trPr>
        <w:tc>
          <w:tcPr>
            <w:tcW w:w="8370" w:type="dxa"/>
            <w:tcBorders>
              <w:top w:val="single" w:color="C0504D" w:themeColor="accent2" w:sz="12" w:space="0"/>
              <w:left w:val="single" w:color="C0504D" w:themeColor="accent2" w:sz="12" w:space="0"/>
              <w:bottom w:val="single" w:color="C0504D" w:themeColor="accent2" w:sz="12" w:space="0"/>
              <w:right w:val="single" w:color="C0504D" w:themeColor="accent2" w:sz="12" w:space="0"/>
            </w:tcBorders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</w:rPr>
              <w:t xml:space="preserve">平台访问链接： </w:t>
            </w:r>
            <w:r>
              <w:fldChar w:fldCharType="begin"/>
            </w:r>
            <w:r>
              <w:instrText xml:space="preserve"> HYPERLINK "https://search.proquest.com" </w:instrText>
            </w:r>
            <w:r>
              <w:fldChar w:fldCharType="separate"/>
            </w:r>
            <w:r>
              <w:rPr>
                <w:rStyle w:val="14"/>
                <w:rFonts w:ascii="微软雅黑" w:hAnsi="微软雅黑" w:eastAsia="微软雅黑"/>
                <w:sz w:val="20"/>
                <w:szCs w:val="20"/>
              </w:rPr>
              <w:t>https://search.proquest.com</w:t>
            </w:r>
            <w:r>
              <w:rPr>
                <w:rStyle w:val="14"/>
                <w:rFonts w:ascii="微软雅黑" w:hAnsi="微软雅黑" w:eastAsia="微软雅黑"/>
                <w:sz w:val="20"/>
                <w:szCs w:val="20"/>
              </w:rPr>
              <w:fldChar w:fldCharType="end"/>
            </w:r>
            <w:r>
              <w:rPr>
                <w:rFonts w:ascii="微软雅黑" w:hAnsi="微软雅黑" w:eastAsia="微软雅黑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 xml:space="preserve"> 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sz w:val="20"/>
                <w:szCs w:val="20"/>
              </w:rPr>
              <w:t>ProQuest Central China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定位链接：</w:t>
            </w:r>
            <w:r>
              <w:fldChar w:fldCharType="begin"/>
            </w:r>
            <w:r>
              <w:instrText xml:space="preserve"> HYPERLINK "https://search.proquest.com/pqcchina" </w:instrText>
            </w:r>
            <w:r>
              <w:fldChar w:fldCharType="separate"/>
            </w:r>
            <w:r>
              <w:rPr>
                <w:rStyle w:val="14"/>
                <w:rFonts w:ascii="微软雅黑" w:hAnsi="微软雅黑" w:eastAsia="微软雅黑"/>
                <w:sz w:val="20"/>
                <w:szCs w:val="20"/>
              </w:rPr>
              <w:t>https://search.proquest.com/pqcchina</w:t>
            </w:r>
            <w:r>
              <w:rPr>
                <w:rStyle w:val="14"/>
                <w:rFonts w:ascii="微软雅黑" w:hAnsi="微软雅黑" w:eastAsia="微软雅黑"/>
                <w:sz w:val="20"/>
                <w:szCs w:val="20"/>
              </w:rPr>
              <w:fldChar w:fldCharType="end"/>
            </w:r>
            <w:r>
              <w:rPr>
                <w:rStyle w:val="14"/>
                <w:rFonts w:ascii="微软雅黑" w:hAnsi="微软雅黑" w:eastAsia="微软雅黑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color="C0504D" w:themeColor="accent2" w:sz="12" w:space="0"/>
              <w:left w:val="single" w:color="C0504D" w:themeColor="accent2" w:sz="12" w:space="0"/>
              <w:bottom w:val="single" w:color="C0504D" w:sz="12" w:space="0"/>
              <w:right w:val="single" w:color="C0504D" w:themeColor="accent2" w:sz="12" w:space="0"/>
            </w:tcBorders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</w:rPr>
              <w:t>平台二维码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ascii="等线" w:eastAsia="等线"/>
                <w:color w:val="000000"/>
                <w:sz w:val="20"/>
                <w:szCs w:val="20"/>
              </w:rPr>
              <w:drawing>
                <wp:inline distT="0" distB="0" distL="0" distR="0">
                  <wp:extent cx="732790" cy="664845"/>
                  <wp:effectExtent l="0" t="0" r="0" b="1905"/>
                  <wp:docPr id="15" name="Picture 15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46" cy="6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>刊物举例：</w:t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drawing>
          <wp:inline distT="0" distB="0" distL="0" distR="0">
            <wp:extent cx="6645910" cy="33356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>刊物来源：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收录内容</w:t>
      </w:r>
      <w:r>
        <w:rPr>
          <w:rFonts w:ascii="微软雅黑" w:hAnsi="微软雅黑" w:eastAsia="微软雅黑"/>
          <w:color w:val="464646"/>
          <w:sz w:val="20"/>
          <w:szCs w:val="20"/>
        </w:rPr>
        <w:t>来自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数千家</w:t>
      </w:r>
      <w:r>
        <w:rPr>
          <w:rFonts w:ascii="微软雅黑" w:hAnsi="微软雅黑" w:eastAsia="微软雅黑"/>
          <w:color w:val="464646"/>
          <w:sz w:val="20"/>
          <w:szCs w:val="20"/>
        </w:rPr>
        <w:t>出版机构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，</w:t>
      </w:r>
      <w:r>
        <w:rPr>
          <w:rFonts w:ascii="微软雅黑" w:hAnsi="微软雅黑" w:eastAsia="微软雅黑"/>
          <w:color w:val="464646"/>
          <w:sz w:val="20"/>
          <w:szCs w:val="20"/>
        </w:rPr>
        <w:t>包含了主流出版商、学术团体、专业协会、大学出版社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，例如：</w:t>
      </w:r>
    </w:p>
    <w:p>
      <w:pPr>
        <w:spacing w:line="276" w:lineRule="auto"/>
        <w:rPr>
          <w:rFonts w:hint="eastAsia" w:ascii="微软雅黑" w:hAnsi="微软雅黑" w:eastAsia="微软雅黑"/>
          <w:color w:val="464646"/>
          <w:sz w:val="20"/>
          <w:szCs w:val="20"/>
        </w:rPr>
      </w:pPr>
      <w:r>
        <w:drawing>
          <wp:inline distT="0" distB="0" distL="0" distR="0">
            <wp:extent cx="6645910" cy="27311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>学科主题：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涵盖了各个学科</w:t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>2.检索与浏览：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2.1检索：提供基本、高级检索、出版物浏览与检索、命令行（布尔检索）、提供在线主题词库</w:t>
      </w:r>
      <w:r>
        <w:rPr>
          <w:rFonts w:ascii="微软雅黑" w:hAnsi="微软雅黑" w:eastAsia="微软雅黑"/>
          <w:color w:val="464646"/>
          <w:sz w:val="20"/>
          <w:szCs w:val="20"/>
        </w:rPr>
        <w:t>ProQuest Thesaurus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、在线检索帮助等</w:t>
      </w:r>
    </w:p>
    <w:p>
      <w:pPr>
        <w:rPr>
          <w:rFonts w:hint="eastAsia" w:ascii="微软雅黑" w:hAnsi="微软雅黑" w:eastAsia="微软雅黑"/>
          <w:color w:val="464646"/>
          <w:sz w:val="20"/>
          <w:szCs w:val="20"/>
        </w:rPr>
      </w:pPr>
      <w:r>
        <w:drawing>
          <wp:inline distT="0" distB="0" distL="0" distR="0">
            <wp:extent cx="6645910" cy="2169795"/>
            <wp:effectExtent l="0" t="0" r="254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2.2</w:t>
      </w:r>
      <w:r>
        <w:rPr>
          <w:rFonts w:ascii="微软雅黑" w:hAnsi="微软雅黑" w:eastAsia="微软雅黑"/>
          <w:color w:val="464646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基本检索：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案例：</w:t>
      </w:r>
      <w:r>
        <w:rPr>
          <w:rFonts w:ascii="微软雅黑" w:hAnsi="微软雅黑" w:eastAsia="微软雅黑"/>
          <w:color w:val="464646"/>
          <w:sz w:val="20"/>
          <w:szCs w:val="20"/>
        </w:rPr>
        <w:t>education assessment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4"/>
        <w:gridCol w:w="5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14" w:type="dxa"/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32"/>
                <w:szCs w:val="32"/>
              </w:rPr>
              <w:t>1.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直接检索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education assessment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，默认为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education AND assessment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，检索庞大的结果，结果准确性会欠缺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065145" cy="2032635"/>
                  <wp:effectExtent l="0" t="0" r="190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92" cy="20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32"/>
                <w:szCs w:val="32"/>
              </w:rPr>
              <w:t>2.</w:t>
            </w:r>
            <w:r>
              <w:rPr>
                <w:rFonts w:ascii="微软雅黑" w:hAnsi="微软雅黑" w:eastAsia="微软雅黑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 xml:space="preserve">词组检索 </w:t>
            </w:r>
            <w:r>
              <w:rPr>
                <w:rFonts w:ascii="微软雅黑" w:hAnsi="微软雅黑" w:eastAsia="微软雅黑"/>
                <w:sz w:val="20"/>
                <w:szCs w:val="20"/>
              </w:rPr>
              <w:t>“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education assessment”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，可以检索到准确的结果，结果全面性会欠缺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108960" cy="200787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95" cy="201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4" w:type="dxa"/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32"/>
                <w:szCs w:val="32"/>
              </w:rPr>
              <w:t>3.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位置检索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education near/3 assessment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，可保证检索结果准确性，同时提高全面性。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平台也支持带排序位置算符p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re/n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055620" cy="18376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697" cy="184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32"/>
                <w:szCs w:val="32"/>
              </w:rPr>
              <w:t>4.</w:t>
            </w:r>
            <w:r>
              <w:rPr>
                <w:rFonts w:ascii="微软雅黑" w:hAnsi="微软雅黑" w:eastAsia="微软雅黑"/>
                <w:sz w:val="20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截词符*的运用，</w:t>
            </w: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education* near/3 assess*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可以获取更多相关结果，提供检索的全面性，例可检到e</w:t>
            </w:r>
            <w:r>
              <w:rPr>
                <w:rFonts w:ascii="微软雅黑" w:hAnsi="微软雅黑" w:eastAsia="微软雅黑"/>
                <w:sz w:val="20"/>
                <w:szCs w:val="20"/>
              </w:rPr>
              <w:t>ducational assessment, assess education</w:t>
            </w:r>
            <w:r>
              <w:rPr>
                <w:rFonts w:hint="eastAsia" w:ascii="微软雅黑" w:hAnsi="微软雅黑" w:eastAsia="微软雅黑"/>
                <w:sz w:val="20"/>
                <w:szCs w:val="20"/>
              </w:rPr>
              <w:t>等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024505" cy="188976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76" cy="189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 xml:space="preserve">为提供检索的准确性和全面性，还需要考虑进行概念的解析，相关词的运用等，例如 </w:t>
      </w:r>
      <w:r>
        <w:rPr>
          <w:rFonts w:ascii="微软雅黑" w:hAnsi="微软雅黑" w:eastAsia="微软雅黑"/>
          <w:sz w:val="20"/>
          <w:szCs w:val="20"/>
        </w:rPr>
        <w:t>(</w:t>
      </w:r>
      <w:r>
        <w:rPr>
          <w:rFonts w:hint="eastAsia" w:ascii="微软雅黑" w:hAnsi="微软雅黑" w:eastAsia="微软雅黑"/>
          <w:sz w:val="20"/>
          <w:szCs w:val="20"/>
        </w:rPr>
        <w:t>e</w:t>
      </w:r>
      <w:r>
        <w:rPr>
          <w:rFonts w:ascii="微软雅黑" w:hAnsi="微软雅黑" w:eastAsia="微软雅黑"/>
          <w:sz w:val="20"/>
          <w:szCs w:val="20"/>
        </w:rPr>
        <w:t>ducation* or teaching) near/3 (assess* or evaluat*)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drawing>
          <wp:inline distT="0" distB="0" distL="0" distR="0">
            <wp:extent cx="6645910" cy="140017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</w:t>
      </w:r>
      <w:r>
        <w:rPr>
          <w:rFonts w:ascii="微软雅黑" w:hAnsi="微软雅黑" w:eastAsia="微软雅黑"/>
          <w:color w:val="464646"/>
          <w:sz w:val="20"/>
          <w:szCs w:val="20"/>
        </w:rPr>
        <w:t>3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高级检索：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案例：</w:t>
      </w:r>
      <w:r>
        <w:rPr>
          <w:rFonts w:ascii="微软雅黑" w:hAnsi="微软雅黑" w:eastAsia="微软雅黑"/>
          <w:sz w:val="20"/>
          <w:szCs w:val="20"/>
        </w:rPr>
        <w:t>(</w:t>
      </w:r>
      <w:r>
        <w:rPr>
          <w:rFonts w:hint="eastAsia" w:ascii="微软雅黑" w:hAnsi="微软雅黑" w:eastAsia="微软雅黑"/>
          <w:sz w:val="20"/>
          <w:szCs w:val="20"/>
        </w:rPr>
        <w:t>e</w:t>
      </w:r>
      <w:r>
        <w:rPr>
          <w:rFonts w:ascii="微软雅黑" w:hAnsi="微软雅黑" w:eastAsia="微软雅黑"/>
          <w:sz w:val="20"/>
          <w:szCs w:val="20"/>
        </w:rPr>
        <w:t>ducation* or teaching) near/3 (assess* or evaluat*)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6645910" cy="16840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选择检索字段，可以快速提高相关性，例如定位到标题、摘要、主题词检索。注：主题词字段针对主题和索引（含关键词字段），主题词可通过在线词库查询。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6645910" cy="1783080"/>
            <wp:effectExtent l="0" t="0" r="254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2.4命令行检索：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案例：</w:t>
      </w:r>
      <w:r>
        <w:rPr>
          <w:rFonts w:ascii="微软雅黑" w:hAnsi="微软雅黑" w:eastAsia="微软雅黑"/>
          <w:sz w:val="20"/>
          <w:szCs w:val="20"/>
        </w:rPr>
        <w:t>(</w:t>
      </w:r>
      <w:r>
        <w:rPr>
          <w:rFonts w:hint="eastAsia" w:ascii="微软雅黑" w:hAnsi="微软雅黑" w:eastAsia="微软雅黑"/>
          <w:sz w:val="20"/>
          <w:szCs w:val="20"/>
        </w:rPr>
        <w:t>e</w:t>
      </w:r>
      <w:r>
        <w:rPr>
          <w:rFonts w:ascii="微软雅黑" w:hAnsi="微软雅黑" w:eastAsia="微软雅黑"/>
          <w:sz w:val="20"/>
          <w:szCs w:val="20"/>
        </w:rPr>
        <w:t xml:space="preserve">ducation* or teaching) near/3 (assess* or evaluat*) </w:t>
      </w:r>
      <w:r>
        <w:rPr>
          <w:rFonts w:hint="eastAsia" w:ascii="微软雅黑" w:hAnsi="微软雅黑" w:eastAsia="微软雅黑"/>
          <w:sz w:val="20"/>
          <w:szCs w:val="20"/>
        </w:rPr>
        <w:t>检索结果中涉及到问卷研究文献，可以通过修改检索策略实现，例如修改为</w:t>
      </w:r>
      <w:r>
        <w:rPr>
          <w:rFonts w:ascii="微软雅黑" w:hAnsi="微软雅黑" w:eastAsia="微软雅黑"/>
          <w:color w:val="953735" w:themeColor="accent2" w:themeShade="BF"/>
          <w:sz w:val="20"/>
          <w:szCs w:val="20"/>
        </w:rPr>
        <w:t xml:space="preserve">(ti((education* or teaching) near/3 (assess* or evaluat*)) OR ab((education* or teaching) near/3 (assess* or evaluat*)) OR su((education* or teaching) and (assess* or evaluat*))) </w:t>
      </w:r>
      <w:r>
        <w:rPr>
          <w:rFonts w:ascii="微软雅黑" w:hAnsi="微软雅黑" w:eastAsia="微软雅黑"/>
          <w:sz w:val="20"/>
          <w:szCs w:val="20"/>
        </w:rPr>
        <w:t xml:space="preserve">and </w:t>
      </w:r>
      <w:r>
        <w:rPr>
          <w:rFonts w:ascii="微软雅黑" w:hAnsi="微软雅黑" w:eastAsia="微软雅黑"/>
          <w:color w:val="FF0000"/>
          <w:sz w:val="20"/>
          <w:szCs w:val="20"/>
        </w:rPr>
        <w:t xml:space="preserve">(ti(questionnaire*) or ab(questionnaire*)) </w:t>
      </w:r>
      <w:r>
        <w:rPr>
          <w:rFonts w:hint="eastAsia" w:ascii="微软雅黑" w:hAnsi="微软雅黑" w:eastAsia="微软雅黑"/>
          <w:sz w:val="20"/>
          <w:szCs w:val="20"/>
        </w:rPr>
        <w:t>，该检索策略增加了在标题和文摘中检索</w:t>
      </w:r>
      <w:r>
        <w:rPr>
          <w:rFonts w:ascii="微软雅黑" w:hAnsi="微软雅黑" w:eastAsia="微软雅黑"/>
          <w:sz w:val="20"/>
          <w:szCs w:val="20"/>
        </w:rPr>
        <w:t>questionnaire*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6593205" cy="16840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6754" cy="168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检索结果显示可以命中采用了Q</w:t>
      </w:r>
      <w:r>
        <w:rPr>
          <w:rFonts w:ascii="微软雅黑" w:hAnsi="微软雅黑" w:eastAsia="微软雅黑"/>
          <w:sz w:val="20"/>
          <w:szCs w:val="20"/>
        </w:rPr>
        <w:t>uestionnaire</w:t>
      </w:r>
      <w:r>
        <w:rPr>
          <w:rFonts w:hint="eastAsia" w:ascii="微软雅黑" w:hAnsi="微软雅黑" w:eastAsia="微软雅黑"/>
          <w:sz w:val="20"/>
          <w:szCs w:val="20"/>
        </w:rPr>
        <w:t>的研究文献，另外可以考虑拓展相关性文献，例如s</w:t>
      </w:r>
      <w:r>
        <w:rPr>
          <w:rFonts w:ascii="微软雅黑" w:hAnsi="微软雅黑" w:eastAsia="微软雅黑"/>
          <w:sz w:val="20"/>
          <w:szCs w:val="20"/>
        </w:rPr>
        <w:t xml:space="preserve">urvey </w:t>
      </w:r>
    </w:p>
    <w:p>
      <w:pPr>
        <w:rPr>
          <w:rFonts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6645910" cy="2068195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2.5检索定题：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在检索结果页右上方，点击保存检索/提醒，就可以实现电邮定题，或是R</w:t>
      </w:r>
      <w:r>
        <w:rPr>
          <w:rFonts w:ascii="微软雅黑" w:hAnsi="微软雅黑" w:eastAsia="微软雅黑"/>
          <w:color w:val="464646"/>
          <w:sz w:val="20"/>
          <w:szCs w:val="20"/>
        </w:rPr>
        <w:t>SS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定题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38100</wp:posOffset>
                </wp:positionV>
                <wp:extent cx="739140" cy="381000"/>
                <wp:effectExtent l="0" t="0" r="2286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7" o:spid="_x0000_s1026" o:spt="2" style="position:absolute;left:0pt;margin-left:149.4pt;margin-top:3pt;height:30pt;width:58.2pt;z-index:251651072;v-text-anchor:middle;mso-width-relative:page;mso-height-relative:page;" filled="f" stroked="t" coordsize="21600,21600" arcsize="0.166666666666667" o:gfxdata="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52NgPWAAAACAEAAA8AAAAAAAAAAQAgAAAAIgAAAGRycy9kb3ducmV2LnhtbFBL&#10;AQIUABQAAAAIAIdO4kAbVvCCagIAANkEAAAOAAAAAAAAAAEAIAAAACUBAABkcnMvZTJvRG9jLnht&#10;bFBLBQYAAAAABgAGAFkBAAABBgAAAAA=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2705100" cy="71501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4"/>
        <w:gridCol w:w="5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14" w:type="dxa"/>
          </w:tcPr>
          <w:p>
            <w:pPr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sz w:val="20"/>
                <w:szCs w:val="20"/>
              </w:rPr>
              <w:t>电邮定题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197860" cy="2883535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66" cy="289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464646"/>
                <w:sz w:val="20"/>
                <w:szCs w:val="20"/>
              </w:rPr>
              <w:t>RSS</w:t>
            </w: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定题</w:t>
            </w:r>
          </w:p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086100" cy="28422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70" cy="285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2.6出版物：可以查找特定刊物、并针对刊物进行定题、检索、浏览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drawing>
          <wp:inline distT="0" distB="0" distL="0" distR="0">
            <wp:extent cx="6645910" cy="209867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 xml:space="preserve">3.命中文献： </w:t>
      </w:r>
      <w:r>
        <w:rPr>
          <w:rFonts w:ascii="微软雅黑" w:hAnsi="微软雅黑" w:eastAsia="微软雅黑"/>
          <w:b/>
          <w:color w:val="464646"/>
          <w:sz w:val="20"/>
          <w:szCs w:val="20"/>
        </w:rPr>
        <w:t xml:space="preserve"> 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3.1</w:t>
      </w:r>
      <w:r>
        <w:rPr>
          <w:rFonts w:ascii="微软雅黑" w:hAnsi="微软雅黑" w:eastAsia="微软雅黑"/>
          <w:color w:val="464646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检索结果</w:t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3230880</wp:posOffset>
                </wp:positionV>
                <wp:extent cx="3307080" cy="365760"/>
                <wp:effectExtent l="0" t="0" r="26670" b="1524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7" o:spid="_x0000_s1026" o:spt="2" style="position:absolute;left:0pt;margin-left:66.6pt;margin-top:254.4pt;height:28.8pt;width:260.4pt;z-index:251659264;v-text-anchor:middle;mso-width-relative:page;mso-height-relative:page;" filled="f" stroked="t" coordsize="21600,21600" arcsize="0.166666666666667" o:gfxdata="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FRnxtgAAAALAQAADwAAAAAAAAABACAAAAAiAAAAZHJzL2Rvd25yZXYu&#10;eG1sUEsBAhQAFAAAAAgAh07iQDFRyVBtAgAA2gQAAA4AAAAAAAAAAQAgAAAAJwEAAGRycy9lMm9E&#10;b2MueG1sUEsFBgAAAAAGAAYAWQEAAAYGAAAAAA==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1889760</wp:posOffset>
                </wp:positionV>
                <wp:extent cx="3162300" cy="365760"/>
                <wp:effectExtent l="0" t="0" r="19050" b="1524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6" o:spid="_x0000_s1026" o:spt="2" style="position:absolute;left:0pt;margin-left:64.8pt;margin-top:148.8pt;height:28.8pt;width:249pt;z-index:251657216;v-text-anchor:middle;mso-width-relative:page;mso-height-relative:page;" filled="f" stroked="t" coordsize="21600,21600" arcsize="0.166666666666667" o:gfxdata="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LhnutgAAAALAQAADwAAAAAAAAABACAAAAAiAAAAZHJzL2Rvd25yZXYu&#10;eG1sUEsBAhQAFAAAAAgAh07iQAy0EJJtAgAA2gQAAA4AAAAAAAAAAQAgAAAAJwEAAGRycy9lMm9E&#10;b2MueG1sUEsFBgAAAAAGAAYAWQEAAAYGAAAAAA==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777240</wp:posOffset>
                </wp:positionV>
                <wp:extent cx="3162300" cy="365760"/>
                <wp:effectExtent l="0" t="0" r="19050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5" o:spid="_x0000_s1026" o:spt="2" style="position:absolute;left:0pt;margin-left:63.6pt;margin-top:61.2pt;height:28.8pt;width:249pt;z-index:251655168;v-text-anchor:middle;mso-width-relative:page;mso-height-relative:page;" filled="f" stroked="t" coordsize="21600,21600" arcsize="0.166666666666667" o:gfxdata="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bvk861wAAAAsBAAAPAAAAAAAAAAEAIAAAACIAAABkcnMvZG93bnJldi54&#10;bWxQSwECFAAUAAAACACHTuJA32DvAm0CAADaBAAADgAAAAAAAAABACAAAAAmAQAAZHJzL2Uyb0Rv&#10;Yy54bWxQSwUGAAAAAAYABgBZAQAABQYAAAAA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645910" cy="352933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全文格式有</w:t>
      </w:r>
      <w:r>
        <w:rPr>
          <w:rFonts w:ascii="微软雅黑" w:hAnsi="微软雅黑" w:eastAsia="微软雅黑"/>
          <w:color w:val="464646"/>
          <w:sz w:val="20"/>
          <w:szCs w:val="20"/>
        </w:rPr>
        <w:t>html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格式和</w:t>
      </w:r>
      <w:r>
        <w:rPr>
          <w:rFonts w:ascii="微软雅黑" w:hAnsi="微软雅黑" w:eastAsia="微软雅黑"/>
          <w:color w:val="464646"/>
          <w:sz w:val="20"/>
          <w:szCs w:val="20"/>
        </w:rPr>
        <w:t>PDF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格式，或其中一种，如果不能直接提供全文，支持全文定位链接</w:t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3.2</w:t>
      </w:r>
      <w:r>
        <w:rPr>
          <w:rFonts w:ascii="微软雅黑" w:hAnsi="微软雅黑" w:eastAsia="微软雅黑"/>
          <w:color w:val="464646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文章页</w:t>
      </w:r>
    </w:p>
    <w:p>
      <w:pPr>
        <w:rPr>
          <w:rFonts w:hint="eastAsia" w:ascii="微软雅黑" w:hAnsi="微软雅黑" w:eastAsia="微软雅黑"/>
          <w:color w:val="464646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1562100</wp:posOffset>
                </wp:positionV>
                <wp:extent cx="822960" cy="182880"/>
                <wp:effectExtent l="0" t="0" r="15240" b="2667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82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0" o:spid="_x0000_s1026" o:spt="2" style="position:absolute;left:0pt;margin-left:6pt;margin-top:123pt;height:14.4pt;width:64.8pt;z-index:251661312;v-text-anchor:middle;mso-width-relative:page;mso-height-relative:page;" filled="f" stroked="t" coordsize="21600,21600" arcsize="0.166666666666667" o:gfxdata="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xO5wdsAAAAKAQAADwAAAAAAAAABACAAAAAiAAAAZHJzL2Rvd25yZXYu&#10;eG1sUEsBAhQAFAAAAAgAh07iQI9c+eNqAgAA2QQAAA4AAAAAAAAAAQAgAAAAKgEAAGRycy9lMm9E&#10;b2MueG1sUEsFBgAAAAAGAAYAWQEAAAYGAAAAAA==&#10;">
                <v:fill on="f" focussize="0,0"/>
                <v:stroke weight="2pt" color="#4F81BD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1310640</wp:posOffset>
                </wp:positionV>
                <wp:extent cx="1562100" cy="2331720"/>
                <wp:effectExtent l="0" t="0" r="19050" b="1143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31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2" o:spid="_x0000_s1026" o:spt="2" style="position:absolute;left:0pt;margin-left:394.8pt;margin-top:103.2pt;height:183.6pt;width:123pt;z-index:251663360;v-text-anchor:middle;mso-width-relative:page;mso-height-relative:page;" filled="f" stroked="t" coordsize="21600,21600" arcsize="0.166666666666667" o:gfxdata="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Xxgw3aAAAADAEAAA8AAAAAAAAAAQAgAAAAIgAAAGRycy9kb3ducmV2&#10;LnhtbFBLAQIUABQAAAAIAIdO4kBIpj6EbAIAANsEAAAOAAAAAAAAAAEAIAAAACkBAABkcnMvZTJv&#10;RG9jLnhtbFBLBQYAAAAABgAGAFkBAAAHBgAAAAA=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3169920</wp:posOffset>
                </wp:positionV>
                <wp:extent cx="1897380" cy="495300"/>
                <wp:effectExtent l="0" t="0" r="26670" b="1905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61" o:spid="_x0000_s1026" o:spt="2" style="position:absolute;left:0pt;margin-left:5.4pt;margin-top:249.6pt;height:39pt;width:149.4pt;z-index:251665408;v-text-anchor:middle;mso-width-relative:page;mso-height-relative:page;" filled="f" stroked="t" coordsize="21600,21600" arcsize="0.166666666666667" o:gfxdata="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ax/GNtsAAAAKAQAADwAAAAAAAAABACAAAAAiAAAAZHJzL2Rvd25y&#10;ZXYueG1sUEsBAhQAFAAAAAgAh07iQNRFiwBtAgAA2gQAAA4AAAAAAAAAAQAgAAAAKgEAAGRycy9l&#10;Mm9Eb2MueG1sUEsFBgAAAAAGAAYAWQEAAAkGAAAAAA==&#10;">
                <v:fill on="f" focussize="0,0"/>
                <v:stroke weight="2pt" color="#4F81BD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1096645</wp:posOffset>
                </wp:positionV>
                <wp:extent cx="708660" cy="342900"/>
                <wp:effectExtent l="0" t="0" r="15240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1" o:spid="_x0000_s1026" o:spt="2" style="position:absolute;left:0pt;margin-left:122.4pt;margin-top:86.35pt;height:27pt;width:55.8pt;z-index:251662336;v-text-anchor:middle;mso-width-relative:page;mso-height-relative:page;" filled="f" stroked="t" coordsize="21600,21600" arcsize="0.166666666666667" o:gfxdata="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JxxBLYAAAACwEAAA8AAAAAAAAAAQAgAAAAIgAAAGRycy9kb3ducmV2Lnht&#10;bFBLAQIUABQAAAAIAIdO4kCYEPtkawIAANkEAAAOAAAAAAAAAAEAIAAAACcBAABkcnMvZTJvRG9j&#10;LnhtbFBLBQYAAAAABgAGAFkBAAAEBgAAAAA=&#10;">
                <v:fill on="f" focussize="0,0"/>
                <v:stroke weight="2pt" color="#C0504D [3205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235585</wp:posOffset>
                </wp:positionV>
                <wp:extent cx="1455420" cy="533400"/>
                <wp:effectExtent l="0" t="0" r="11430" b="1905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533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3" o:spid="_x0000_s1026" o:spt="2" style="position:absolute;left:0pt;margin-left:411pt;margin-top:18.55pt;height:42pt;width:114.6pt;z-index:251664384;v-text-anchor:middle;mso-width-relative:page;mso-height-relative:page;" filled="f" stroked="t" coordsize="21600,21600" arcsize="0.166666666666667" o:gfxdata="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JvT2nYAAAACwEAAA8AAAAAAAAAAQAgAAAAIgAAAGRycy9kb3ducmV2LnhtbFBL&#10;AQIUABQAAAAIAIdO4kAw51Y1aAIAANoEAAAOAAAAAAAAAAEAIAAAACcBAABkcnMvZTJvRG9jLnht&#10;bFBLBQYAAAAABgAGAFkBAAABBgAAAAA=&#10;">
                <v:fill on="f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drawing>
          <wp:inline distT="0" distB="0" distL="0" distR="0">
            <wp:extent cx="6645910" cy="3955415"/>
            <wp:effectExtent l="0" t="0" r="254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color w:val="464646"/>
          <w:sz w:val="20"/>
          <w:szCs w:val="20"/>
        </w:rPr>
        <w:t>针对大部分检索结果，</w:t>
      </w:r>
      <w:r>
        <w:rPr>
          <w:rFonts w:ascii="微软雅黑" w:hAnsi="微软雅黑" w:eastAsia="微软雅黑"/>
          <w:color w:val="464646"/>
          <w:sz w:val="20"/>
          <w:szCs w:val="20"/>
        </w:rPr>
        <w:t>html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格式文摘/全文提供了翻译功能（含翻译为中文），</w:t>
      </w:r>
      <w:r>
        <w:rPr>
          <w:rFonts w:ascii="微软雅黑" w:hAnsi="微软雅黑" w:eastAsia="微软雅黑"/>
          <w:color w:val="464646"/>
          <w:sz w:val="20"/>
          <w:szCs w:val="20"/>
        </w:rPr>
        <w:t>html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格式全文提供在线聆听和下载</w:t>
      </w:r>
      <w:r>
        <w:rPr>
          <w:rFonts w:ascii="微软雅黑" w:hAnsi="微软雅黑" w:eastAsia="微软雅黑"/>
          <w:color w:val="464646"/>
          <w:sz w:val="20"/>
          <w:szCs w:val="20"/>
        </w:rPr>
        <w:t>mp3</w:t>
      </w:r>
      <w:r>
        <w:rPr>
          <w:rFonts w:hint="eastAsia" w:ascii="微软雅黑" w:hAnsi="微软雅黑" w:eastAsia="微软雅黑"/>
          <w:color w:val="464646"/>
          <w:sz w:val="20"/>
          <w:szCs w:val="20"/>
        </w:rPr>
        <w:t>文件；提供了参考文献、引用人、共享参考文献、相关题目，便于获得相关研究资料；提供了单篇文献的信息处理：引用、电邮、打印、保存</w:t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 xml:space="preserve">4.信息处理（可针对单条/多条文献）： </w:t>
      </w:r>
    </w:p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2598420" cy="3289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6"/>
        <w:gridCol w:w="5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op w:val="single" w:color="F79646" w:themeColor="accent6" w:sz="12" w:space="0"/>
              <w:left w:val="single" w:color="F79646" w:themeColor="accent6" w:sz="12" w:space="0"/>
              <w:bottom w:val="single" w:color="F79646" w:themeColor="accent6" w:sz="12" w:space="0"/>
              <w:right w:val="single" w:color="F79646" w:themeColor="accent6" w:sz="12" w:space="0"/>
            </w:tcBorders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生成引文</w:t>
            </w:r>
          </w:p>
          <w:p>
            <w:pPr>
              <w:rPr>
                <w:rFonts w:ascii="微软雅黑" w:hAnsi="微软雅黑" w:eastAsia="微软雅黑"/>
                <w:b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116580" cy="2192020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50" cy="219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color="F79646" w:themeColor="accent6" w:sz="12" w:space="0"/>
              <w:left w:val="single" w:color="F79646" w:themeColor="accent6" w:sz="12" w:space="0"/>
              <w:bottom w:val="single" w:color="F79646" w:themeColor="accent6" w:sz="12" w:space="0"/>
              <w:right w:val="single" w:color="F79646" w:themeColor="accent6" w:sz="12" w:space="0"/>
            </w:tcBorders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电邮发送</w:t>
            </w:r>
          </w:p>
          <w:p>
            <w:pPr>
              <w:rPr>
                <w:rFonts w:ascii="微软雅黑" w:hAnsi="微软雅黑" w:eastAsia="微软雅黑"/>
                <w:b/>
                <w:color w:val="464646"/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3177540" cy="2308225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tcBorders>
              <w:top w:val="single" w:color="F79646" w:themeColor="accent6" w:sz="12" w:space="0"/>
              <w:left w:val="single" w:color="F79646" w:themeColor="accent6" w:sz="12" w:space="0"/>
              <w:bottom w:val="single" w:color="F79646" w:themeColor="accent6" w:sz="12" w:space="0"/>
              <w:right w:val="single" w:color="F79646" w:themeColor="accent6" w:sz="12" w:space="0"/>
            </w:tcBorders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打印</w:t>
            </w:r>
          </w:p>
          <w:p>
            <w:pPr>
              <w:rPr>
                <w:rFonts w:ascii="微软雅黑" w:hAnsi="微软雅黑" w:eastAsia="微软雅黑"/>
                <w:b/>
                <w:color w:val="464646"/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color="F79646" w:themeColor="accent6" w:sz="12" w:space="0"/>
              <w:left w:val="single" w:color="F79646" w:themeColor="accent6" w:sz="12" w:space="0"/>
              <w:bottom w:val="single" w:color="F79646" w:themeColor="accent6" w:sz="12" w:space="0"/>
              <w:right w:val="single" w:color="F79646" w:themeColor="accent6" w:sz="12" w:space="0"/>
            </w:tcBorders>
          </w:tcPr>
          <w:p>
            <w:pPr>
              <w:rPr>
                <w:rFonts w:ascii="微软雅黑" w:hAnsi="微软雅黑" w:eastAsia="微软雅黑"/>
                <w:color w:val="464646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464646"/>
                <w:sz w:val="20"/>
                <w:szCs w:val="20"/>
              </w:rPr>
              <w:t>保存/导出</w:t>
            </w:r>
          </w:p>
          <w:p>
            <w:pPr>
              <w:rPr>
                <w:rFonts w:ascii="微软雅黑" w:hAnsi="微软雅黑" w:eastAsia="微软雅黑"/>
                <w:b/>
                <w:color w:val="464646"/>
                <w:sz w:val="20"/>
                <w:szCs w:val="20"/>
              </w:rPr>
            </w:pPr>
            <w:r>
              <w:drawing>
                <wp:inline distT="0" distB="0" distL="0" distR="0">
                  <wp:extent cx="3101340" cy="2548255"/>
                  <wp:effectExtent l="0" t="0" r="3810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41" cy="255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  <w:b/>
          <w:color w:val="464646"/>
          <w:sz w:val="20"/>
          <w:szCs w:val="20"/>
        </w:rPr>
      </w:pPr>
      <w:r>
        <w:rPr>
          <w:rFonts w:hint="eastAsia" w:ascii="微软雅黑" w:hAnsi="微软雅黑" w:eastAsia="微软雅黑"/>
          <w:b/>
          <w:color w:val="464646"/>
          <w:sz w:val="20"/>
          <w:szCs w:val="20"/>
        </w:rPr>
        <w:t>5.获取更多帮助</w:t>
      </w:r>
    </w:p>
    <w:p>
      <w:pPr>
        <w:rPr>
          <w:rStyle w:val="14"/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"https://proquest.libguides.com" </w:instrText>
      </w:r>
      <w:r>
        <w:fldChar w:fldCharType="separate"/>
      </w:r>
      <w:r>
        <w:rPr>
          <w:rStyle w:val="14"/>
          <w:rFonts w:ascii="微软雅黑" w:hAnsi="微软雅黑" w:eastAsia="微软雅黑"/>
          <w:sz w:val="24"/>
          <w:szCs w:val="24"/>
        </w:rPr>
        <w:t>https://proquest.libguides.com</w:t>
      </w:r>
      <w:r>
        <w:rPr>
          <w:rStyle w:val="14"/>
          <w:rFonts w:ascii="微软雅黑" w:hAnsi="微软雅黑" w:eastAsia="微软雅黑"/>
          <w:sz w:val="24"/>
          <w:szCs w:val="24"/>
        </w:rPr>
        <w:fldChar w:fldCharType="end"/>
      </w: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</w:p>
    <w:p>
      <w:pPr>
        <w:rPr>
          <w:rFonts w:ascii="微软雅黑" w:hAnsi="微软雅黑" w:eastAsia="微软雅黑"/>
          <w:color w:val="464646"/>
          <w:sz w:val="20"/>
          <w:szCs w:val="20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aleo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Kaiti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A9"/>
    <w:rsid w:val="000134F5"/>
    <w:rsid w:val="00013D22"/>
    <w:rsid w:val="00037C0A"/>
    <w:rsid w:val="00044E73"/>
    <w:rsid w:val="0004697F"/>
    <w:rsid w:val="00064614"/>
    <w:rsid w:val="000B2BD5"/>
    <w:rsid w:val="000C4D1A"/>
    <w:rsid w:val="000C5B8E"/>
    <w:rsid w:val="000C7245"/>
    <w:rsid w:val="000E09CC"/>
    <w:rsid w:val="0010007A"/>
    <w:rsid w:val="001051E0"/>
    <w:rsid w:val="00106D6D"/>
    <w:rsid w:val="00110FD0"/>
    <w:rsid w:val="00115EF7"/>
    <w:rsid w:val="001429C1"/>
    <w:rsid w:val="00153481"/>
    <w:rsid w:val="001575E9"/>
    <w:rsid w:val="001612A3"/>
    <w:rsid w:val="001623A3"/>
    <w:rsid w:val="001647DF"/>
    <w:rsid w:val="00166E4B"/>
    <w:rsid w:val="00195D87"/>
    <w:rsid w:val="001A0893"/>
    <w:rsid w:val="001A193E"/>
    <w:rsid w:val="001A4634"/>
    <w:rsid w:val="001A6BAA"/>
    <w:rsid w:val="001D0F34"/>
    <w:rsid w:val="001F2D8D"/>
    <w:rsid w:val="0020004C"/>
    <w:rsid w:val="0020791A"/>
    <w:rsid w:val="00223D4F"/>
    <w:rsid w:val="00256F13"/>
    <w:rsid w:val="00285407"/>
    <w:rsid w:val="00285E8B"/>
    <w:rsid w:val="002913D9"/>
    <w:rsid w:val="00291BDF"/>
    <w:rsid w:val="002E58FD"/>
    <w:rsid w:val="003155FD"/>
    <w:rsid w:val="0036099D"/>
    <w:rsid w:val="00377A3B"/>
    <w:rsid w:val="0038721A"/>
    <w:rsid w:val="00397686"/>
    <w:rsid w:val="003B238C"/>
    <w:rsid w:val="003C4F4D"/>
    <w:rsid w:val="003D1E6A"/>
    <w:rsid w:val="003E1F26"/>
    <w:rsid w:val="003F6EF0"/>
    <w:rsid w:val="00405EFE"/>
    <w:rsid w:val="0042124A"/>
    <w:rsid w:val="00455648"/>
    <w:rsid w:val="004572C6"/>
    <w:rsid w:val="00457691"/>
    <w:rsid w:val="00470D42"/>
    <w:rsid w:val="004727BB"/>
    <w:rsid w:val="004846F7"/>
    <w:rsid w:val="0049204C"/>
    <w:rsid w:val="00493726"/>
    <w:rsid w:val="00497107"/>
    <w:rsid w:val="004A1861"/>
    <w:rsid w:val="004A1C95"/>
    <w:rsid w:val="004C291B"/>
    <w:rsid w:val="004F44F8"/>
    <w:rsid w:val="005157F8"/>
    <w:rsid w:val="00526593"/>
    <w:rsid w:val="005338AE"/>
    <w:rsid w:val="0054233F"/>
    <w:rsid w:val="00557B3E"/>
    <w:rsid w:val="00564BA9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E3BC8"/>
    <w:rsid w:val="005E54F1"/>
    <w:rsid w:val="005E6221"/>
    <w:rsid w:val="005E6E73"/>
    <w:rsid w:val="005F6EEC"/>
    <w:rsid w:val="00602750"/>
    <w:rsid w:val="00615045"/>
    <w:rsid w:val="00645B52"/>
    <w:rsid w:val="00646A9F"/>
    <w:rsid w:val="00655E83"/>
    <w:rsid w:val="006612D7"/>
    <w:rsid w:val="0067759A"/>
    <w:rsid w:val="006B7F13"/>
    <w:rsid w:val="006C43CC"/>
    <w:rsid w:val="006D04C2"/>
    <w:rsid w:val="006F7AFB"/>
    <w:rsid w:val="007163A9"/>
    <w:rsid w:val="0072596A"/>
    <w:rsid w:val="00731708"/>
    <w:rsid w:val="00754725"/>
    <w:rsid w:val="007550CB"/>
    <w:rsid w:val="007579C6"/>
    <w:rsid w:val="007673F3"/>
    <w:rsid w:val="00784ADA"/>
    <w:rsid w:val="00797C4B"/>
    <w:rsid w:val="007B2FA3"/>
    <w:rsid w:val="007C6080"/>
    <w:rsid w:val="007D5B53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12D6"/>
    <w:rsid w:val="00882122"/>
    <w:rsid w:val="008945F0"/>
    <w:rsid w:val="008A095B"/>
    <w:rsid w:val="008A2C8B"/>
    <w:rsid w:val="008C0691"/>
    <w:rsid w:val="008D440F"/>
    <w:rsid w:val="008E1E05"/>
    <w:rsid w:val="0090018F"/>
    <w:rsid w:val="009053DD"/>
    <w:rsid w:val="00950FCB"/>
    <w:rsid w:val="00992739"/>
    <w:rsid w:val="009952F9"/>
    <w:rsid w:val="009A26E6"/>
    <w:rsid w:val="009A5CA2"/>
    <w:rsid w:val="009A7B79"/>
    <w:rsid w:val="00A3201F"/>
    <w:rsid w:val="00A462EB"/>
    <w:rsid w:val="00A53E8D"/>
    <w:rsid w:val="00A60EB6"/>
    <w:rsid w:val="00A66B35"/>
    <w:rsid w:val="00A74C9E"/>
    <w:rsid w:val="00A97698"/>
    <w:rsid w:val="00AA704D"/>
    <w:rsid w:val="00AC5A85"/>
    <w:rsid w:val="00AD3576"/>
    <w:rsid w:val="00AE47FF"/>
    <w:rsid w:val="00B15A98"/>
    <w:rsid w:val="00B15F3D"/>
    <w:rsid w:val="00B16E1C"/>
    <w:rsid w:val="00B22ECD"/>
    <w:rsid w:val="00B44022"/>
    <w:rsid w:val="00B53354"/>
    <w:rsid w:val="00B53949"/>
    <w:rsid w:val="00B64987"/>
    <w:rsid w:val="00B714D4"/>
    <w:rsid w:val="00BA66B1"/>
    <w:rsid w:val="00BA7251"/>
    <w:rsid w:val="00BB7C22"/>
    <w:rsid w:val="00BD6F0E"/>
    <w:rsid w:val="00BF7100"/>
    <w:rsid w:val="00C009D5"/>
    <w:rsid w:val="00C079FD"/>
    <w:rsid w:val="00C114D7"/>
    <w:rsid w:val="00C14005"/>
    <w:rsid w:val="00C1466F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D156BA"/>
    <w:rsid w:val="00D169A4"/>
    <w:rsid w:val="00D56BE8"/>
    <w:rsid w:val="00D61BD6"/>
    <w:rsid w:val="00D87BD5"/>
    <w:rsid w:val="00DA49CB"/>
    <w:rsid w:val="00DA7938"/>
    <w:rsid w:val="00DB24D4"/>
    <w:rsid w:val="00DC1EA3"/>
    <w:rsid w:val="00DC2218"/>
    <w:rsid w:val="00DD76E5"/>
    <w:rsid w:val="00DE68A9"/>
    <w:rsid w:val="00DF00FB"/>
    <w:rsid w:val="00DF79A8"/>
    <w:rsid w:val="00E34FB2"/>
    <w:rsid w:val="00E35BA2"/>
    <w:rsid w:val="00E40BC4"/>
    <w:rsid w:val="00E634B6"/>
    <w:rsid w:val="00E74944"/>
    <w:rsid w:val="00E75C4F"/>
    <w:rsid w:val="00E858AF"/>
    <w:rsid w:val="00E900FC"/>
    <w:rsid w:val="00EA0633"/>
    <w:rsid w:val="00EC4468"/>
    <w:rsid w:val="00ED1567"/>
    <w:rsid w:val="00ED2870"/>
    <w:rsid w:val="00ED7D50"/>
    <w:rsid w:val="00ED7E42"/>
    <w:rsid w:val="00EF0688"/>
    <w:rsid w:val="00EF6F43"/>
    <w:rsid w:val="00F117E6"/>
    <w:rsid w:val="00F123C0"/>
    <w:rsid w:val="00F1430B"/>
    <w:rsid w:val="00F30895"/>
    <w:rsid w:val="00F41E1D"/>
    <w:rsid w:val="00F42FF2"/>
    <w:rsid w:val="00F43AC1"/>
    <w:rsid w:val="00F62689"/>
    <w:rsid w:val="00F63739"/>
    <w:rsid w:val="00F86690"/>
    <w:rsid w:val="00F91A5D"/>
    <w:rsid w:val="00F94935"/>
    <w:rsid w:val="00FB1B25"/>
    <w:rsid w:val="00FB724B"/>
    <w:rsid w:val="00FC40C6"/>
    <w:rsid w:val="00FE35BD"/>
    <w:rsid w:val="05F31403"/>
    <w:rsid w:val="5CB87939"/>
    <w:rsid w:val="7F40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widowControl/>
      <w:spacing w:after="158"/>
      <w:jc w:val="left"/>
      <w:outlineLvl w:val="0"/>
    </w:pPr>
    <w:rPr>
      <w:rFonts w:ascii="aleoregular" w:hAnsi="aleoregular" w:eastAsia="Times New Roman" w:cs="Times New Roman"/>
      <w:color w:val="777777"/>
      <w:kern w:val="36"/>
      <w:sz w:val="42"/>
      <w:szCs w:val="42"/>
    </w:rPr>
  </w:style>
  <w:style w:type="character" w:default="1" w:styleId="11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1"/>
    <w:qFormat/>
    <w:uiPriority w:val="1"/>
    <w:pPr>
      <w:autoSpaceDE w:val="0"/>
      <w:autoSpaceDN w:val="0"/>
      <w:jc w:val="left"/>
    </w:pPr>
    <w:rPr>
      <w:rFonts w:ascii="STKaiti" w:hAnsi="STKaiti" w:eastAsia="STKaiti" w:cs="STKaiti"/>
      <w:kern w:val="0"/>
      <w:sz w:val="32"/>
      <w:szCs w:val="32"/>
      <w:lang w:eastAsia="en-US"/>
    </w:rPr>
  </w:style>
  <w:style w:type="paragraph" w:styleId="4">
    <w:name w:val="Plain Text"/>
    <w:basedOn w:val="1"/>
    <w:link w:val="20"/>
    <w:semiHidden/>
    <w:unhideWhenUsed/>
    <w:uiPriority w:val="99"/>
    <w:pPr>
      <w:widowControl/>
      <w:jc w:val="left"/>
    </w:pPr>
    <w:rPr>
      <w:rFonts w:ascii="Calibri" w:hAnsi="Calibri" w:eastAsia="宋体" w:cs="Calibri"/>
      <w:kern w:val="0"/>
      <w:szCs w:val="21"/>
    </w:r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Balloon Text Char"/>
    <w:basedOn w:val="11"/>
    <w:link w:val="5"/>
    <w:semiHidden/>
    <w:qFormat/>
    <w:uiPriority w:val="99"/>
    <w:rPr>
      <w:sz w:val="18"/>
      <w:szCs w:val="18"/>
    </w:rPr>
  </w:style>
  <w:style w:type="character" w:customStyle="1" w:styleId="16">
    <w:name w:val="Header Char"/>
    <w:basedOn w:val="11"/>
    <w:link w:val="7"/>
    <w:uiPriority w:val="99"/>
    <w:rPr>
      <w:sz w:val="18"/>
      <w:szCs w:val="18"/>
    </w:rPr>
  </w:style>
  <w:style w:type="character" w:customStyle="1" w:styleId="17">
    <w:name w:val="Footer Char"/>
    <w:basedOn w:val="11"/>
    <w:link w:val="6"/>
    <w:qFormat/>
    <w:uiPriority w:val="99"/>
    <w:rPr>
      <w:sz w:val="18"/>
      <w:szCs w:val="18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Unresolved Mention"/>
    <w:basedOn w:val="1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0">
    <w:name w:val="Plain Text Char"/>
    <w:basedOn w:val="11"/>
    <w:link w:val="4"/>
    <w:semiHidden/>
    <w:uiPriority w:val="99"/>
    <w:rPr>
      <w:rFonts w:ascii="Calibri" w:hAnsi="Calibri" w:eastAsia="宋体" w:cs="Calibri"/>
      <w:kern w:val="0"/>
      <w:szCs w:val="21"/>
    </w:rPr>
  </w:style>
  <w:style w:type="character" w:customStyle="1" w:styleId="21">
    <w:name w:val="Body Text Char"/>
    <w:basedOn w:val="11"/>
    <w:link w:val="3"/>
    <w:qFormat/>
    <w:uiPriority w:val="1"/>
    <w:rPr>
      <w:rFonts w:ascii="STKaiti" w:hAnsi="STKaiti" w:eastAsia="STKaiti" w:cs="STKaiti"/>
      <w:kern w:val="0"/>
      <w:sz w:val="32"/>
      <w:szCs w:val="32"/>
      <w:lang w:eastAsia="en-US"/>
    </w:rPr>
  </w:style>
  <w:style w:type="character" w:customStyle="1" w:styleId="22">
    <w:name w:val="style3"/>
    <w:qFormat/>
    <w:uiPriority w:val="0"/>
  </w:style>
  <w:style w:type="character" w:customStyle="1" w:styleId="23">
    <w:name w:val="Heading 1 Char"/>
    <w:basedOn w:val="11"/>
    <w:link w:val="2"/>
    <w:qFormat/>
    <w:uiPriority w:val="9"/>
    <w:rPr>
      <w:rFonts w:ascii="aleoregular" w:hAnsi="aleoregular" w:eastAsia="Times New Roman" w:cs="Times New Roman"/>
      <w:color w:val="777777"/>
      <w:kern w:val="36"/>
      <w:sz w:val="42"/>
      <w:szCs w:val="4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cid:image003.jpg@01D3CF2D.81FAEDA0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328</Words>
  <Characters>1871</Characters>
  <Lines>15</Lines>
  <Paragraphs>4</Paragraphs>
  <TotalTime>149</TotalTime>
  <ScaleCrop>false</ScaleCrop>
  <LinksUpToDate>false</LinksUpToDate>
  <CharactersWithSpaces>2195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2019-08-14T08:05:00Z</dcterms:created>
  <dc:creator>Thinkpad</dc:creator>
  <cp:lastModifiedBy>Administrator</cp:lastModifiedBy>
  <dcterms:modified xsi:type="dcterms:W3CDTF">2021-01-08T01:18:39Z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